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F79B" w14:textId="77777777" w:rsidR="00D5547E" w:rsidRDefault="00D5547E" w:rsidP="004A6D2F"/>
    <w:p w14:paraId="728A04D9" w14:textId="77777777" w:rsidR="00DA5D89" w:rsidRPr="009E51FC" w:rsidRDefault="00DA5D89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6406"/>
        <w:gridCol w:w="11"/>
      </w:tblGrid>
      <w:tr w:rsidR="00CE544A" w:rsidRPr="00975B07" w14:paraId="6C258EF1" w14:textId="77777777" w:rsidTr="76B64DD5">
        <w:trPr>
          <w:gridAfter w:val="1"/>
          <w:wAfter w:w="11" w:type="dxa"/>
        </w:trPr>
        <w:tc>
          <w:tcPr>
            <w:tcW w:w="2438" w:type="dxa"/>
            <w:gridSpan w:val="2"/>
            <w:shd w:val="clear" w:color="auto" w:fill="auto"/>
          </w:tcPr>
          <w:p w14:paraId="4278AEC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AD5EE59" w14:textId="77777777" w:rsidR="00F445B1" w:rsidRPr="00F95BC9" w:rsidRDefault="006B203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14:paraId="6496BBAD" w14:textId="77777777" w:rsidTr="76B64DD5">
        <w:trPr>
          <w:gridAfter w:val="1"/>
          <w:wAfter w:w="11" w:type="dxa"/>
        </w:trPr>
        <w:tc>
          <w:tcPr>
            <w:tcW w:w="2438" w:type="dxa"/>
            <w:gridSpan w:val="2"/>
            <w:shd w:val="clear" w:color="auto" w:fill="auto"/>
          </w:tcPr>
          <w:p w14:paraId="77E99FB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58A24750" w14:textId="535BDECE" w:rsidR="00F445B1" w:rsidRPr="00B6401F" w:rsidRDefault="00BD05E3" w:rsidP="008B2A4F">
            <w:pPr>
              <w:rPr>
                <w:b/>
                <w:highlight w:val="yellow"/>
              </w:rPr>
            </w:pPr>
            <w:r w:rsidRPr="00BD05E3">
              <w:rPr>
                <w:b/>
              </w:rPr>
              <w:t>18 March 2024</w:t>
            </w:r>
          </w:p>
        </w:tc>
      </w:tr>
      <w:tr w:rsidR="00CE544A" w:rsidRPr="00975B07" w14:paraId="2F8BA2DD" w14:textId="77777777" w:rsidTr="76B64DD5">
        <w:trPr>
          <w:gridAfter w:val="1"/>
          <w:wAfter w:w="11" w:type="dxa"/>
        </w:trPr>
        <w:tc>
          <w:tcPr>
            <w:tcW w:w="2438" w:type="dxa"/>
            <w:gridSpan w:val="2"/>
            <w:shd w:val="clear" w:color="auto" w:fill="auto"/>
          </w:tcPr>
          <w:p w14:paraId="05AAC01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029880A3" w14:textId="77777777" w:rsidR="00F445B1" w:rsidRPr="001356F1" w:rsidRDefault="006B203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Business Improvement</w:t>
            </w:r>
          </w:p>
        </w:tc>
      </w:tr>
      <w:tr w:rsidR="00CE544A" w:rsidRPr="00975B07" w14:paraId="7A6C353B" w14:textId="77777777" w:rsidTr="76B64DD5">
        <w:trPr>
          <w:gridAfter w:val="1"/>
          <w:wAfter w:w="11" w:type="dxa"/>
        </w:trPr>
        <w:tc>
          <w:tcPr>
            <w:tcW w:w="2438" w:type="dxa"/>
            <w:gridSpan w:val="2"/>
            <w:shd w:val="clear" w:color="auto" w:fill="auto"/>
          </w:tcPr>
          <w:p w14:paraId="1AF3D43A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737C0BB3" w14:textId="33E8B416" w:rsidR="00F445B1" w:rsidRDefault="006B2033" w:rsidP="76B64DD5">
            <w:pPr>
              <w:rPr>
                <w:rStyle w:val="Firstpagetablebold"/>
              </w:rPr>
            </w:pPr>
            <w:r w:rsidRPr="76B64DD5">
              <w:rPr>
                <w:rStyle w:val="Firstpagetablebold"/>
              </w:rPr>
              <w:t xml:space="preserve">Pay Policy Statement </w:t>
            </w:r>
            <w:r w:rsidR="006E1A3A" w:rsidRPr="76B64DD5">
              <w:rPr>
                <w:rStyle w:val="Firstpagetablebold"/>
              </w:rPr>
              <w:t>2024/25</w:t>
            </w:r>
          </w:p>
          <w:p w14:paraId="1DE47B02" w14:textId="77777777" w:rsidR="00675BFD" w:rsidRPr="001356F1" w:rsidRDefault="00675BFD" w:rsidP="76B64DD5">
            <w:pPr>
              <w:rPr>
                <w:rStyle w:val="Firstpagetablebold"/>
              </w:rPr>
            </w:pPr>
          </w:p>
          <w:p w14:paraId="17217AAE" w14:textId="4A6C6483" w:rsidR="00F445B1" w:rsidRPr="001356F1" w:rsidRDefault="00F445B1" w:rsidP="76B64DD5">
            <w:pPr>
              <w:rPr>
                <w:rStyle w:val="Firstpagetablebold"/>
              </w:rPr>
            </w:pPr>
          </w:p>
        </w:tc>
      </w:tr>
      <w:tr w:rsidR="00D5547E" w14:paraId="2F39742A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4"/>
            <w:tcBorders>
              <w:bottom w:val="single" w:sz="8" w:space="0" w:color="000000" w:themeColor="text1"/>
            </w:tcBorders>
            <w:hideMark/>
          </w:tcPr>
          <w:p w14:paraId="3D09777B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3C6343A7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hideMark/>
          </w:tcPr>
          <w:p w14:paraId="4A2A37D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hideMark/>
          </w:tcPr>
          <w:p w14:paraId="50ADF380" w14:textId="77777777" w:rsidR="00D5547E" w:rsidRPr="001356F1" w:rsidRDefault="00DB64E8" w:rsidP="00497EBC">
            <w:r>
              <w:t>To</w:t>
            </w:r>
            <w:r w:rsidR="006B2033">
              <w:t xml:space="preserve"> approv</w:t>
            </w:r>
            <w:r w:rsidR="00B6313B">
              <w:t>e the</w:t>
            </w:r>
            <w:r w:rsidR="006B2033">
              <w:t xml:space="preserve"> </w:t>
            </w:r>
            <w:r w:rsidR="00230DBD">
              <w:t>A</w:t>
            </w:r>
            <w:r w:rsidR="006B2033">
              <w:t xml:space="preserve">nnual </w:t>
            </w:r>
            <w:r w:rsidR="00230DBD">
              <w:t>P</w:t>
            </w:r>
            <w:r w:rsidR="006B2033">
              <w:t xml:space="preserve">ay </w:t>
            </w:r>
            <w:r w:rsidR="00230DBD">
              <w:t>P</w:t>
            </w:r>
            <w:r w:rsidR="006B2033">
              <w:t xml:space="preserve">olicy </w:t>
            </w:r>
            <w:r w:rsidR="00230DBD">
              <w:t>S</w:t>
            </w:r>
            <w:r w:rsidR="006B2033">
              <w:t xml:space="preserve">tatement </w:t>
            </w:r>
          </w:p>
        </w:tc>
      </w:tr>
      <w:tr w:rsidR="00D5547E" w14:paraId="104DE0AC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47272274" w14:textId="77777777" w:rsidR="00D5547E" w:rsidRPr="006B2033" w:rsidRDefault="00D5547E">
            <w:pPr>
              <w:rPr>
                <w:rStyle w:val="Firstpagetablebold"/>
                <w:color w:val="auto"/>
              </w:rPr>
            </w:pPr>
            <w:r w:rsidRPr="006B2033">
              <w:rPr>
                <w:rStyle w:val="Firstpagetablebold"/>
                <w:color w:val="auto"/>
              </w:rPr>
              <w:t>Key decision: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43618C3D" w14:textId="77777777" w:rsidR="00D5547E" w:rsidRPr="006B2033" w:rsidRDefault="00D5547E" w:rsidP="005F7F7E">
            <w:pPr>
              <w:rPr>
                <w:color w:val="auto"/>
              </w:rPr>
            </w:pPr>
            <w:r w:rsidRPr="006B2033">
              <w:rPr>
                <w:color w:val="auto"/>
              </w:rPr>
              <w:t>No</w:t>
            </w:r>
          </w:p>
        </w:tc>
      </w:tr>
      <w:tr w:rsidR="00D5547E" w14:paraId="4D8A5FA5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16B0D82A" w14:textId="77777777" w:rsidR="00D5547E" w:rsidRDefault="00780427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</w:t>
            </w:r>
            <w:r>
              <w:rPr>
                <w:rStyle w:val="Firstpagetablebold"/>
              </w:rPr>
              <w:t xml:space="preserve"> with responsibility</w:t>
            </w:r>
            <w:r w:rsidR="00D5547E">
              <w:rPr>
                <w:rStyle w:val="Firstpagetablebold"/>
              </w:rPr>
              <w:t>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19618725" w14:textId="20185F20" w:rsidR="00D5547E" w:rsidRPr="00D975FD" w:rsidRDefault="006B2033" w:rsidP="008B2A4F">
            <w:r>
              <w:t xml:space="preserve">Councillor </w:t>
            </w:r>
            <w:r w:rsidR="008B2A4F">
              <w:t>Nigel Chapman</w:t>
            </w:r>
            <w:r w:rsidR="008E459F">
              <w:t>, Cabinet Member for Citizen Focused Services</w:t>
            </w:r>
            <w:r w:rsidR="008D7854">
              <w:t xml:space="preserve"> and Council Companies</w:t>
            </w:r>
          </w:p>
        </w:tc>
      </w:tr>
      <w:tr w:rsidR="0080749A" w14:paraId="10C41FFF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14:paraId="5084288A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791409AD" w14:textId="165879E5" w:rsidR="0080749A" w:rsidRPr="00D975FD" w:rsidRDefault="008E459F" w:rsidP="005F7F7E">
            <w:r>
              <w:t>All</w:t>
            </w:r>
          </w:p>
        </w:tc>
      </w:tr>
      <w:tr w:rsidR="00D5547E" w14:paraId="0F88B0C6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14:paraId="4F0C2DB6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14:paraId="2142822D" w14:textId="2D101134" w:rsidR="00D5547E" w:rsidRPr="00B4511A" w:rsidRDefault="008E459F" w:rsidP="005F7F7E">
            <w:pPr>
              <w:rPr>
                <w:color w:val="FF0000"/>
              </w:rPr>
            </w:pPr>
            <w:r>
              <w:rPr>
                <w:color w:val="auto"/>
              </w:rPr>
              <w:t>Council Strategy 2020-24</w:t>
            </w:r>
          </w:p>
        </w:tc>
      </w:tr>
      <w:tr w:rsidR="005F7F7E" w:rsidRPr="00975B07" w14:paraId="2E928954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8845" w:type="dxa"/>
            <w:gridSpan w:val="4"/>
            <w:tcBorders>
              <w:bottom w:val="single" w:sz="8" w:space="0" w:color="000000" w:themeColor="text1"/>
            </w:tcBorders>
          </w:tcPr>
          <w:p w14:paraId="09F246CB" w14:textId="5072AD52" w:rsidR="005F7F7E" w:rsidRPr="00975B07" w:rsidRDefault="005F7F7E" w:rsidP="00230DBD">
            <w:r>
              <w:rPr>
                <w:rStyle w:val="Firstpagetablebold"/>
              </w:rPr>
              <w:t>Recommendation(s):</w:t>
            </w:r>
            <w:r w:rsidR="003B791F">
              <w:rPr>
                <w:rStyle w:val="Firstpagetablebold"/>
              </w:rPr>
              <w:t xml:space="preserve">  </w:t>
            </w:r>
            <w:r>
              <w:rPr>
                <w:rStyle w:val="Firstpagetablebold"/>
              </w:rPr>
              <w:t xml:space="preserve">That </w:t>
            </w:r>
            <w:r w:rsidR="00230DBD">
              <w:rPr>
                <w:rStyle w:val="Firstpagetablebold"/>
              </w:rPr>
              <w:t xml:space="preserve">Council </w:t>
            </w:r>
            <w:r>
              <w:rPr>
                <w:rStyle w:val="Firstpagetablebold"/>
              </w:rPr>
              <w:t>resolves to:</w:t>
            </w:r>
          </w:p>
        </w:tc>
      </w:tr>
      <w:tr w:rsidR="0030208D" w:rsidRPr="00975B07" w14:paraId="23D93B2C" w14:textId="77777777" w:rsidTr="3861C5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nil"/>
            </w:tcBorders>
          </w:tcPr>
          <w:p w14:paraId="46AB1C1B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3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D620151" w14:textId="4B2C21B7" w:rsidR="0030208D" w:rsidRPr="001356F1" w:rsidRDefault="674C9EF0" w:rsidP="009B1236">
            <w:r>
              <w:t>Approve</w:t>
            </w:r>
            <w:r w:rsidRPr="3861C5E5">
              <w:rPr>
                <w:b/>
                <w:bCs/>
              </w:rPr>
              <w:t xml:space="preserve"> </w:t>
            </w:r>
            <w:r>
              <w:t xml:space="preserve">the Annual Pay Policy Statement </w:t>
            </w:r>
            <w:r w:rsidR="006E1A3A">
              <w:t>2024/25</w:t>
            </w:r>
            <w:r>
              <w:t xml:space="preserve"> </w:t>
            </w:r>
            <w:r w:rsidR="7542879F">
              <w:t xml:space="preserve">and the new 2 year pay agreement </w:t>
            </w:r>
            <w:r w:rsidR="009B1236">
              <w:t>in</w:t>
            </w:r>
            <w:r w:rsidR="71C1C11D">
              <w:t xml:space="preserve"> Appendix </w:t>
            </w:r>
            <w:r w:rsidR="52221E1C">
              <w:t>1</w:t>
            </w:r>
            <w:r w:rsidR="45E158C9">
              <w:t>.</w:t>
            </w:r>
          </w:p>
        </w:tc>
      </w:tr>
    </w:tbl>
    <w:p w14:paraId="39ACF91E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47195E1C" w14:textId="77777777" w:rsidTr="64CE6EF6">
        <w:tc>
          <w:tcPr>
            <w:tcW w:w="884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DDCD4A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648B44C8" w14:textId="77777777" w:rsidTr="64CE6EF6">
        <w:tc>
          <w:tcPr>
            <w:tcW w:w="243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</w:tcPr>
          <w:p w14:paraId="333C23ED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253B0714" w14:textId="74A2BB43" w:rsidR="00ED5860" w:rsidRPr="001356F1" w:rsidRDefault="00F37AE8" w:rsidP="00712CB8">
            <w:r>
              <w:t xml:space="preserve">Annual Pay Policy Statement </w:t>
            </w:r>
            <w:r w:rsidR="006E1A3A">
              <w:t>2024/25</w:t>
            </w:r>
          </w:p>
        </w:tc>
      </w:tr>
      <w:tr w:rsidR="00ED5860" w:rsidRPr="00975B07" w14:paraId="16C15360" w14:textId="77777777" w:rsidTr="64CE6EF6">
        <w:tc>
          <w:tcPr>
            <w:tcW w:w="243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4DDAA78A" w14:textId="77777777" w:rsidR="00ED5860" w:rsidRPr="00975B07" w:rsidRDefault="0030208D" w:rsidP="004A6D2F">
            <w:r w:rsidRPr="00975B07">
              <w:t xml:space="preserve">Appendix </w:t>
            </w:r>
            <w:r w:rsidR="00055AEC"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14:paraId="585A2EC6" w14:textId="77777777" w:rsidR="00ED5860" w:rsidRPr="001356F1" w:rsidRDefault="008E706A" w:rsidP="005946C1">
            <w:r>
              <w:t>Risk Register</w:t>
            </w:r>
          </w:p>
        </w:tc>
      </w:tr>
    </w:tbl>
    <w:p w14:paraId="609541D9" w14:textId="77777777" w:rsidR="003A5917" w:rsidRDefault="003A5917" w:rsidP="004A6D2F">
      <w:pPr>
        <w:pStyle w:val="Heading1"/>
      </w:pPr>
    </w:p>
    <w:p w14:paraId="47F900C9" w14:textId="016D7E5C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369FF8EF" w14:textId="77777777" w:rsidR="00E87F7A" w:rsidRPr="001356F1" w:rsidRDefault="00D3663B" w:rsidP="008E459F">
      <w:pPr>
        <w:pStyle w:val="ListParagraph"/>
        <w:jc w:val="both"/>
      </w:pPr>
      <w:r>
        <w:t>T</w:t>
      </w:r>
      <w:r w:rsidR="00F37AE8">
        <w:t>he Council is required</w:t>
      </w:r>
      <w:r>
        <w:t xml:space="preserve"> by legislation</w:t>
      </w:r>
      <w:r w:rsidR="00F37AE8">
        <w:t xml:space="preserve"> to approve and publish a Pay Policy Statement annually.</w:t>
      </w:r>
    </w:p>
    <w:p w14:paraId="321DC177" w14:textId="77777777" w:rsidR="00633578" w:rsidRPr="001356F1" w:rsidRDefault="00F37AE8" w:rsidP="00E87F7A">
      <w:pPr>
        <w:pStyle w:val="Heading1"/>
      </w:pPr>
      <w:r>
        <w:t>Overview</w:t>
      </w:r>
    </w:p>
    <w:p w14:paraId="3A93C780" w14:textId="0D407311" w:rsidR="00E87F7A" w:rsidRDefault="00F37AE8" w:rsidP="27DCEC7F">
      <w:pPr>
        <w:pStyle w:val="bParagraphtext"/>
        <w:spacing w:after="0"/>
        <w:jc w:val="both"/>
      </w:pPr>
      <w:r>
        <w:t xml:space="preserve">The Pay Policy Statement </w:t>
      </w:r>
      <w:r w:rsidR="009B1236">
        <w:t>in</w:t>
      </w:r>
      <w:r w:rsidR="000B375C">
        <w:t xml:space="preserve"> Appendix 1</w:t>
      </w:r>
      <w:r>
        <w:t xml:space="preserve"> reflects the Council’s current agreements and arrangements </w:t>
      </w:r>
      <w:proofErr w:type="gramStart"/>
      <w:r>
        <w:t>with regard to</w:t>
      </w:r>
      <w:proofErr w:type="gramEnd"/>
      <w:r>
        <w:t xml:space="preserve"> pay.</w:t>
      </w:r>
    </w:p>
    <w:p w14:paraId="629198A8" w14:textId="4EA9D719" w:rsidR="27DCEC7F" w:rsidRDefault="27DCEC7F" w:rsidP="27DCEC7F">
      <w:pPr>
        <w:pStyle w:val="bParagraphtext"/>
        <w:numPr>
          <w:ilvl w:val="0"/>
          <w:numId w:val="0"/>
        </w:numPr>
        <w:spacing w:after="0"/>
        <w:jc w:val="both"/>
        <w:rPr>
          <w:color w:val="000000" w:themeColor="text1"/>
        </w:rPr>
      </w:pPr>
    </w:p>
    <w:p w14:paraId="52594819" w14:textId="13B2E7E4" w:rsidR="00A12099" w:rsidRDefault="00760405" w:rsidP="27DCEC7F">
      <w:pPr>
        <w:pStyle w:val="bParagraphtext"/>
        <w:spacing w:after="0"/>
        <w:jc w:val="both"/>
      </w:pPr>
      <w:r>
        <w:t xml:space="preserve">The Council has completed union negotiations with Unison and Unite to agree a </w:t>
      </w:r>
      <w:r w:rsidR="00754DB4">
        <w:t xml:space="preserve">new </w:t>
      </w:r>
      <w:r w:rsidR="00E2239A">
        <w:t>two</w:t>
      </w:r>
      <w:r w:rsidR="009B1236">
        <w:t>-</w:t>
      </w:r>
      <w:r w:rsidR="00E2239A">
        <w:t>year pay a</w:t>
      </w:r>
      <w:r w:rsidR="009B1236">
        <w:t>greement</w:t>
      </w:r>
      <w:r w:rsidR="00E2239A">
        <w:t xml:space="preserve"> providing a </w:t>
      </w:r>
      <w:r w:rsidR="00DE70D2">
        <w:t xml:space="preserve">cost of living pay award of </w:t>
      </w:r>
      <w:r w:rsidR="006E1A3A">
        <w:t>6</w:t>
      </w:r>
      <w:r w:rsidR="005C7F94">
        <w:t>.5</w:t>
      </w:r>
      <w:r w:rsidR="006E1A3A">
        <w:t>%</w:t>
      </w:r>
      <w:r w:rsidR="00397D25">
        <w:t xml:space="preserve"> on base pay</w:t>
      </w:r>
      <w:r w:rsidR="006E1A3A">
        <w:t xml:space="preserve"> </w:t>
      </w:r>
      <w:r w:rsidR="009B1236">
        <w:t xml:space="preserve">points </w:t>
      </w:r>
      <w:r w:rsidR="008A0564">
        <w:t>with effect from 1</w:t>
      </w:r>
      <w:r w:rsidR="008A0564" w:rsidRPr="5224CD73">
        <w:rPr>
          <w:vertAlign w:val="superscript"/>
        </w:rPr>
        <w:t>st</w:t>
      </w:r>
      <w:r w:rsidR="008A0564">
        <w:t xml:space="preserve"> April 202</w:t>
      </w:r>
      <w:r w:rsidR="006E1A3A">
        <w:t>4</w:t>
      </w:r>
      <w:r w:rsidR="00E2239A">
        <w:t xml:space="preserve"> and 3% with effect from 1</w:t>
      </w:r>
      <w:r w:rsidR="00E2239A" w:rsidRPr="5224CD73">
        <w:rPr>
          <w:vertAlign w:val="superscript"/>
        </w:rPr>
        <w:t>st</w:t>
      </w:r>
      <w:r w:rsidR="00E2239A">
        <w:t xml:space="preserve"> April 2025</w:t>
      </w:r>
      <w:r>
        <w:t xml:space="preserve">. </w:t>
      </w:r>
      <w:r w:rsidR="009B1236">
        <w:t xml:space="preserve">The freeze </w:t>
      </w:r>
      <w:r w:rsidR="009B1236">
        <w:lastRenderedPageBreak/>
        <w:t>on incremental pay progression will be lifted and e</w:t>
      </w:r>
      <w:r w:rsidR="00DE70D2">
        <w:t xml:space="preserve">mployees </w:t>
      </w:r>
      <w:r w:rsidR="009B1236">
        <w:t xml:space="preserve">will move up an increment unless already at the maximum pay point. Incremental progression covers </w:t>
      </w:r>
      <w:r w:rsidR="40DE5B4C">
        <w:t>National Joint Council (</w:t>
      </w:r>
      <w:r w:rsidR="00DE70D2">
        <w:t>NJC</w:t>
      </w:r>
      <w:r w:rsidR="0D814F33">
        <w:t>)</w:t>
      </w:r>
      <w:r w:rsidR="00DE70D2">
        <w:t xml:space="preserve"> Grades 3 to 11 only</w:t>
      </w:r>
      <w:r w:rsidR="009B1236">
        <w:t>. T</w:t>
      </w:r>
      <w:r w:rsidR="00397D25">
        <w:t>he paid leave entitlement will increase by one day (pro rata for part-time employees) with effect from 1</w:t>
      </w:r>
      <w:r w:rsidR="00397D25" w:rsidRPr="5224CD73">
        <w:rPr>
          <w:vertAlign w:val="superscript"/>
        </w:rPr>
        <w:t>st</w:t>
      </w:r>
      <w:r w:rsidR="4702315F" w:rsidRPr="5224CD73">
        <w:rPr>
          <w:vertAlign w:val="superscript"/>
        </w:rPr>
        <w:t xml:space="preserve"> </w:t>
      </w:r>
      <w:r w:rsidR="009B1236">
        <w:t>October 2024. T</w:t>
      </w:r>
      <w:r w:rsidR="00495A1D">
        <w:t>he arrangements in the local pay agreement for the period from 1</w:t>
      </w:r>
      <w:r w:rsidR="00495A1D" w:rsidRPr="5224CD73">
        <w:rPr>
          <w:vertAlign w:val="superscript"/>
        </w:rPr>
        <w:t>st</w:t>
      </w:r>
      <w:r w:rsidR="00495A1D">
        <w:t xml:space="preserve"> April 202</w:t>
      </w:r>
      <w:r w:rsidR="006E1A3A">
        <w:t>4</w:t>
      </w:r>
      <w:r w:rsidR="00495A1D">
        <w:t xml:space="preserve"> to 31</w:t>
      </w:r>
      <w:r w:rsidR="00495A1D" w:rsidRPr="5224CD73">
        <w:rPr>
          <w:vertAlign w:val="superscript"/>
        </w:rPr>
        <w:t>st</w:t>
      </w:r>
      <w:r w:rsidR="00495A1D">
        <w:t xml:space="preserve"> March 202</w:t>
      </w:r>
      <w:r w:rsidR="009B1236">
        <w:t>6</w:t>
      </w:r>
      <w:r w:rsidR="00495A1D">
        <w:t xml:space="preserve"> are reflected in the Pay Policy Statement </w:t>
      </w:r>
      <w:r w:rsidR="006E1A3A">
        <w:t>2024/25</w:t>
      </w:r>
      <w:r w:rsidR="00495A1D">
        <w:t>.</w:t>
      </w:r>
      <w:r w:rsidR="00A12099">
        <w:t xml:space="preserve"> </w:t>
      </w:r>
    </w:p>
    <w:p w14:paraId="6D4C48A7" w14:textId="0A3D5132" w:rsidR="27DCEC7F" w:rsidRDefault="27DCEC7F" w:rsidP="27DCEC7F">
      <w:pPr>
        <w:pStyle w:val="bParagraphtext"/>
        <w:numPr>
          <w:ilvl w:val="0"/>
          <w:numId w:val="0"/>
        </w:numPr>
        <w:spacing w:after="0"/>
        <w:jc w:val="both"/>
        <w:rPr>
          <w:color w:val="000000" w:themeColor="text1"/>
        </w:rPr>
      </w:pPr>
    </w:p>
    <w:p w14:paraId="00CA19FC" w14:textId="1E51B52E" w:rsidR="006E1A3A" w:rsidRPr="009E4219" w:rsidRDefault="00754DB4" w:rsidP="27DCEC7F">
      <w:pPr>
        <w:pStyle w:val="ListParagraph"/>
        <w:spacing w:after="0"/>
      </w:pPr>
      <w:r>
        <w:t xml:space="preserve">The </w:t>
      </w:r>
      <w:r w:rsidR="00B512B8">
        <w:t xml:space="preserve">previous </w:t>
      </w:r>
      <w:r>
        <w:t>pay agreement include</w:t>
      </w:r>
      <w:r w:rsidR="009D54E6">
        <w:t>d</w:t>
      </w:r>
      <w:r>
        <w:t xml:space="preserve"> a commitment to undertake a full review of pay, grading and progression looking ahead from 1</w:t>
      </w:r>
      <w:r w:rsidRPr="27DCEC7F">
        <w:rPr>
          <w:vertAlign w:val="superscript"/>
        </w:rPr>
        <w:t>st</w:t>
      </w:r>
      <w:r>
        <w:t xml:space="preserve"> April 2024 onwards</w:t>
      </w:r>
      <w:r w:rsidR="009D54E6">
        <w:t xml:space="preserve"> and this </w:t>
      </w:r>
      <w:r w:rsidR="009B1236">
        <w:t xml:space="preserve">work </w:t>
      </w:r>
      <w:r w:rsidR="00B512B8">
        <w:t xml:space="preserve">will </w:t>
      </w:r>
      <w:r w:rsidR="009B1236">
        <w:t>be completed in</w:t>
      </w:r>
      <w:r w:rsidR="009D54E6">
        <w:t xml:space="preserve"> 2024.</w:t>
      </w:r>
    </w:p>
    <w:p w14:paraId="4573FFD1" w14:textId="21DFBA93" w:rsidR="27DCEC7F" w:rsidRDefault="27DCEC7F" w:rsidP="27DCEC7F">
      <w:pPr>
        <w:spacing w:after="0"/>
        <w:rPr>
          <w:color w:val="000000" w:themeColor="text1"/>
        </w:rPr>
      </w:pPr>
    </w:p>
    <w:p w14:paraId="1105D5E3" w14:textId="70914E2D" w:rsidR="00222BAB" w:rsidRPr="009D1ED5" w:rsidRDefault="00C24DB2" w:rsidP="5224CD73">
      <w:pPr>
        <w:pStyle w:val="bParagraphtext"/>
        <w:spacing w:after="0"/>
        <w:jc w:val="both"/>
      </w:pPr>
      <w:r>
        <w:t>The</w:t>
      </w:r>
      <w:r w:rsidR="00E32F5C">
        <w:t xml:space="preserve"> Living Wage Foundation announced the increase to the voluntary London and National Living Wage in November</w:t>
      </w:r>
      <w:r w:rsidR="00FC0533">
        <w:t xml:space="preserve"> 2023. </w:t>
      </w:r>
      <w:r w:rsidR="00222BAB">
        <w:t>The Oxford Living Wage is set at 95% of the London Living Wage</w:t>
      </w:r>
      <w:r w:rsidR="00E32F5C">
        <w:t xml:space="preserve"> and, w</w:t>
      </w:r>
      <w:r w:rsidR="006E1A3A">
        <w:t>ith effect from 1</w:t>
      </w:r>
      <w:r w:rsidR="006E1A3A" w:rsidRPr="6EEE9BCA">
        <w:rPr>
          <w:vertAlign w:val="superscript"/>
        </w:rPr>
        <w:t>st</w:t>
      </w:r>
      <w:r w:rsidR="006E1A3A">
        <w:t xml:space="preserve"> April 2024 this will </w:t>
      </w:r>
      <w:r w:rsidR="003964F7">
        <w:t xml:space="preserve">rise to </w:t>
      </w:r>
      <w:r w:rsidR="006E1A3A">
        <w:t>£12.49</w:t>
      </w:r>
      <w:r w:rsidR="009D54E6">
        <w:t xml:space="preserve"> per hour</w:t>
      </w:r>
      <w:r w:rsidR="00B6401F">
        <w:t>.</w:t>
      </w:r>
      <w:r w:rsidR="000462F0">
        <w:t xml:space="preserve">  In</w:t>
      </w:r>
      <w:r w:rsidR="009D54E6">
        <w:t xml:space="preserve"> comparison, </w:t>
      </w:r>
      <w:r w:rsidR="70788E0E">
        <w:t xml:space="preserve">with the exception of Apprentices, </w:t>
      </w:r>
      <w:r w:rsidR="00B6401F">
        <w:t xml:space="preserve">the lowest Council employee </w:t>
      </w:r>
      <w:r w:rsidR="00577202">
        <w:t xml:space="preserve">pay </w:t>
      </w:r>
      <w:r w:rsidR="00B6401F">
        <w:t xml:space="preserve">rate </w:t>
      </w:r>
      <w:r w:rsidR="005C7F94">
        <w:t>will be</w:t>
      </w:r>
      <w:r w:rsidR="00B6401F">
        <w:t xml:space="preserve"> £</w:t>
      </w:r>
      <w:r w:rsidR="00814699">
        <w:t>12.67</w:t>
      </w:r>
      <w:r w:rsidR="00B6401F">
        <w:t xml:space="preserve"> per hour</w:t>
      </w:r>
      <w:r w:rsidR="009D54E6">
        <w:t xml:space="preserve"> </w:t>
      </w:r>
      <w:r w:rsidR="00090E00">
        <w:t xml:space="preserve">as </w:t>
      </w:r>
      <w:proofErr w:type="gramStart"/>
      <w:r w:rsidR="00090E00">
        <w:t>at</w:t>
      </w:r>
      <w:proofErr w:type="gramEnd"/>
      <w:r w:rsidR="00090E00">
        <w:t xml:space="preserve"> 1</w:t>
      </w:r>
      <w:r w:rsidR="00090E00" w:rsidRPr="6EEE9BCA">
        <w:rPr>
          <w:vertAlign w:val="superscript"/>
        </w:rPr>
        <w:t>st</w:t>
      </w:r>
      <w:r w:rsidR="00090E00">
        <w:t xml:space="preserve"> April 2024.</w:t>
      </w:r>
      <w:r w:rsidR="11261B76">
        <w:t xml:space="preserve">  </w:t>
      </w:r>
      <w:r w:rsidR="11261B76" w:rsidRPr="6EEE9BCA">
        <w:rPr>
          <w:rFonts w:eastAsia="Arial" w:cs="Arial"/>
          <w:color w:val="000000" w:themeColor="text1"/>
        </w:rPr>
        <w:t xml:space="preserve">The Council’s apprentices commence their apprenticeship below the Oxford Living Wage but progress to rates </w:t>
      </w:r>
      <w:proofErr w:type="gramStart"/>
      <w:r w:rsidR="11261B76" w:rsidRPr="6EEE9BCA">
        <w:rPr>
          <w:rFonts w:eastAsia="Arial" w:cs="Arial"/>
          <w:color w:val="000000" w:themeColor="text1"/>
        </w:rPr>
        <w:t>in excess of</w:t>
      </w:r>
      <w:proofErr w:type="gramEnd"/>
      <w:r w:rsidR="11261B76" w:rsidRPr="6EEE9BCA">
        <w:rPr>
          <w:rFonts w:eastAsia="Arial" w:cs="Arial"/>
          <w:color w:val="000000" w:themeColor="text1"/>
        </w:rPr>
        <w:t xml:space="preserve"> it.</w:t>
      </w:r>
    </w:p>
    <w:p w14:paraId="4B4C8A14" w14:textId="77777777" w:rsidR="0040736F" w:rsidRPr="00C24DB2" w:rsidRDefault="002329CF" w:rsidP="004A6D2F">
      <w:pPr>
        <w:pStyle w:val="Heading1"/>
      </w:pPr>
      <w:r w:rsidRPr="00C24DB2">
        <w:t>Financial implications</w:t>
      </w:r>
    </w:p>
    <w:p w14:paraId="1927380D" w14:textId="15F0B3C5" w:rsidR="1309A154" w:rsidRDefault="1309A154" w:rsidP="27DCEC7F">
      <w:pPr>
        <w:pStyle w:val="ListParagraph"/>
        <w:spacing w:after="0"/>
        <w:jc w:val="both"/>
      </w:pPr>
      <w:r>
        <w:t xml:space="preserve">The financial implications of this </w:t>
      </w:r>
      <w:r w:rsidR="277F1573">
        <w:t>P</w:t>
      </w:r>
      <w:r>
        <w:t xml:space="preserve">ay </w:t>
      </w:r>
      <w:r w:rsidR="277F1573">
        <w:t>P</w:t>
      </w:r>
      <w:r>
        <w:t xml:space="preserve">olicy </w:t>
      </w:r>
      <w:r w:rsidR="277F1573">
        <w:t xml:space="preserve">Statement </w:t>
      </w:r>
      <w:r>
        <w:t xml:space="preserve">and the </w:t>
      </w:r>
      <w:r w:rsidR="57C45F3D">
        <w:t xml:space="preserve">new </w:t>
      </w:r>
      <w:r w:rsidR="614CCDA3">
        <w:t>two</w:t>
      </w:r>
      <w:r>
        <w:t xml:space="preserve"> year pay agreement have been included within the Council</w:t>
      </w:r>
      <w:r w:rsidR="56F6886D">
        <w:t>’</w:t>
      </w:r>
      <w:r>
        <w:t xml:space="preserve">s Medium Term Financial </w:t>
      </w:r>
      <w:r w:rsidR="65615491">
        <w:t>Strategy</w:t>
      </w:r>
      <w:r w:rsidR="6A93098E">
        <w:t>.</w:t>
      </w:r>
      <w:r w:rsidR="38813100">
        <w:t xml:space="preserve"> The estimated cost of this is around </w:t>
      </w:r>
      <w:r w:rsidR="3AC23246">
        <w:t>£</w:t>
      </w:r>
      <w:r w:rsidR="5E827312">
        <w:t xml:space="preserve">2.2 million </w:t>
      </w:r>
      <w:r w:rsidR="38813100">
        <w:t xml:space="preserve">including national insurance and superannuation </w:t>
      </w:r>
      <w:r w:rsidR="0CCF7CAE">
        <w:t xml:space="preserve">over the period of the </w:t>
      </w:r>
      <w:r w:rsidR="57D775A5">
        <w:t>2-year</w:t>
      </w:r>
      <w:r w:rsidR="0CCF7CAE">
        <w:t xml:space="preserve"> agreement</w:t>
      </w:r>
      <w:r w:rsidR="38813100">
        <w:t xml:space="preserve">.   </w:t>
      </w:r>
    </w:p>
    <w:p w14:paraId="521EA9B3" w14:textId="49A45F5F" w:rsidR="27DCEC7F" w:rsidRDefault="27DCEC7F" w:rsidP="27DCEC7F">
      <w:pPr>
        <w:spacing w:after="0"/>
        <w:jc w:val="both"/>
        <w:rPr>
          <w:color w:val="000000" w:themeColor="text1"/>
        </w:rPr>
      </w:pPr>
    </w:p>
    <w:p w14:paraId="5F6ADED8" w14:textId="5C408FE9" w:rsidR="00F9215D" w:rsidRPr="00681FDC" w:rsidRDefault="28A60D28" w:rsidP="27DCEC7F">
      <w:pPr>
        <w:pStyle w:val="ListParagraph"/>
        <w:spacing w:after="0"/>
        <w:jc w:val="both"/>
        <w:rPr>
          <w:color w:val="000000" w:themeColor="text1"/>
        </w:rPr>
      </w:pPr>
      <w:r w:rsidRPr="5224CD73">
        <w:rPr>
          <w:rFonts w:eastAsia="Arial" w:cs="Arial"/>
          <w:color w:val="auto"/>
        </w:rPr>
        <w:t>The Council’s contract rules require that all contracts include the requirement on the contractor and its supply chain to pay their employees at least the Oxford Living Wage.</w:t>
      </w:r>
      <w:r w:rsidR="38A586D2" w:rsidRPr="5224CD73">
        <w:rPr>
          <w:color w:val="auto"/>
        </w:rPr>
        <w:t xml:space="preserve"> The Oxford Living Wage is incorporated into the </w:t>
      </w:r>
      <w:r w:rsidR="65615491" w:rsidRPr="5224CD73">
        <w:rPr>
          <w:color w:val="auto"/>
        </w:rPr>
        <w:t xml:space="preserve">Council’s </w:t>
      </w:r>
      <w:r w:rsidR="38A586D2" w:rsidRPr="5224CD73">
        <w:rPr>
          <w:color w:val="auto"/>
        </w:rPr>
        <w:t>contract</w:t>
      </w:r>
      <w:r w:rsidR="45071B8D" w:rsidRPr="5224CD73">
        <w:rPr>
          <w:color w:val="auto"/>
        </w:rPr>
        <w:t>s</w:t>
      </w:r>
      <w:r w:rsidR="38A586D2" w:rsidRPr="5224CD73">
        <w:rPr>
          <w:color w:val="auto"/>
        </w:rPr>
        <w:t xml:space="preserve"> for </w:t>
      </w:r>
      <w:r w:rsidR="38A586D2">
        <w:t>temporary agency workers, and t</w:t>
      </w:r>
      <w:r w:rsidR="1309A154">
        <w:t>he requirement to pay the Oxford Living Wage as a minimum also covers its Leisure Services partner</w:t>
      </w:r>
      <w:r w:rsidR="42E4A20B">
        <w:t xml:space="preserve"> and </w:t>
      </w:r>
      <w:r w:rsidR="69E691B3">
        <w:t xml:space="preserve">both </w:t>
      </w:r>
      <w:r w:rsidR="42E4A20B">
        <w:t>Oxford Direct Services</w:t>
      </w:r>
      <w:r w:rsidR="7FDDA615">
        <w:t xml:space="preserve"> </w:t>
      </w:r>
      <w:r w:rsidR="5202E9C5">
        <w:t>Ltd</w:t>
      </w:r>
      <w:r w:rsidR="69E691B3">
        <w:t xml:space="preserve"> and Oxford City Housing Limited</w:t>
      </w:r>
      <w:r w:rsidR="71C6FE81">
        <w:t xml:space="preserve">, </w:t>
      </w:r>
      <w:r w:rsidR="6557ABA6">
        <w:t>the latter two being</w:t>
      </w:r>
      <w:r w:rsidR="71C6FE81">
        <w:t xml:space="preserve"> Council</w:t>
      </w:r>
      <w:r w:rsidR="6557ABA6">
        <w:t>-</w:t>
      </w:r>
      <w:r w:rsidR="71C6FE81">
        <w:t>owned compan</w:t>
      </w:r>
      <w:r w:rsidR="69E691B3">
        <w:t>ies</w:t>
      </w:r>
      <w:r w:rsidR="5202E9C5">
        <w:t>.</w:t>
      </w:r>
    </w:p>
    <w:p w14:paraId="21F3E79A" w14:textId="77777777" w:rsidR="0040736F" w:rsidRDefault="00B44B83" w:rsidP="004A6D2F">
      <w:pPr>
        <w:pStyle w:val="Heading1"/>
      </w:pPr>
      <w:r>
        <w:t>L</w:t>
      </w:r>
      <w:r w:rsidR="00DA614B" w:rsidRPr="001356F1">
        <w:t>egal issues</w:t>
      </w:r>
    </w:p>
    <w:p w14:paraId="2508BE56" w14:textId="69D275CE" w:rsidR="00E87F7A" w:rsidRDefault="5D3A9B27" w:rsidP="008E459F">
      <w:pPr>
        <w:pStyle w:val="ListParagraph"/>
        <w:spacing w:after="0"/>
        <w:jc w:val="both"/>
      </w:pPr>
      <w:r w:rsidRPr="5224CD73">
        <w:rPr>
          <w:color w:val="auto"/>
        </w:rPr>
        <w:t xml:space="preserve">The Council has a legal obligation to produce and publish a pay policy statement annually. </w:t>
      </w:r>
      <w:r w:rsidR="018F4DDA" w:rsidRPr="5224CD73">
        <w:rPr>
          <w:color w:val="auto"/>
        </w:rPr>
        <w:t xml:space="preserve">In </w:t>
      </w:r>
      <w:r w:rsidR="018F4DDA">
        <w:t>accordance with the Localism Act 2011</w:t>
      </w:r>
      <w:r w:rsidR="7F374AD1">
        <w:t>,</w:t>
      </w:r>
      <w:r w:rsidR="018F4DDA">
        <w:t xml:space="preserve"> t</w:t>
      </w:r>
      <w:r w:rsidR="5F58CEF2">
        <w:t xml:space="preserve">he Council </w:t>
      </w:r>
      <w:r w:rsidR="702EFF62">
        <w:t>is required</w:t>
      </w:r>
      <w:r w:rsidR="5F58CEF2">
        <w:t xml:space="preserve"> to approv</w:t>
      </w:r>
      <w:r w:rsidR="4B2D283B">
        <w:t>e</w:t>
      </w:r>
      <w:r w:rsidR="5F58CEF2">
        <w:t xml:space="preserve"> </w:t>
      </w:r>
      <w:r w:rsidR="018F4DDA">
        <w:t>its Annual Pay Policy Statement by 31 March each year</w:t>
      </w:r>
      <w:r w:rsidR="74B10721">
        <w:t xml:space="preserve"> and to publish its Annual Pay Policy Statement as soon as reasonably practicable after it has been approved</w:t>
      </w:r>
      <w:r w:rsidR="2B07396A">
        <w:t>.</w:t>
      </w:r>
      <w:r w:rsidR="7FFE0DAC">
        <w:t xml:space="preserve">  A failure to approve and publish a Pay Policy Statement by the required date would be liable to challenge by way of judicial review.</w:t>
      </w:r>
    </w:p>
    <w:p w14:paraId="5B7AB658" w14:textId="77777777" w:rsidR="0039156D" w:rsidRPr="001356F1" w:rsidRDefault="0039156D" w:rsidP="0039156D">
      <w:pPr>
        <w:pStyle w:val="ListParagraph"/>
        <w:numPr>
          <w:ilvl w:val="0"/>
          <w:numId w:val="0"/>
        </w:numPr>
        <w:spacing w:after="0"/>
        <w:ind w:left="426"/>
      </w:pPr>
    </w:p>
    <w:p w14:paraId="0DB2244A" w14:textId="77777777" w:rsidR="002329CF" w:rsidRDefault="002329CF" w:rsidP="002A376B">
      <w:pPr>
        <w:pStyle w:val="ListParagraph"/>
        <w:numPr>
          <w:ilvl w:val="0"/>
          <w:numId w:val="0"/>
        </w:numPr>
        <w:spacing w:after="0"/>
        <w:rPr>
          <w:b/>
        </w:rPr>
      </w:pPr>
      <w:r w:rsidRPr="0039156D">
        <w:rPr>
          <w:b/>
        </w:rPr>
        <w:t>Level of risk</w:t>
      </w:r>
    </w:p>
    <w:p w14:paraId="0626E7F4" w14:textId="77777777" w:rsidR="002A376B" w:rsidRPr="0039156D" w:rsidRDefault="002A376B" w:rsidP="002A376B">
      <w:pPr>
        <w:pStyle w:val="ListParagraph"/>
        <w:numPr>
          <w:ilvl w:val="0"/>
          <w:numId w:val="0"/>
        </w:numPr>
        <w:spacing w:after="0"/>
        <w:rPr>
          <w:b/>
        </w:rPr>
      </w:pPr>
    </w:p>
    <w:p w14:paraId="1D9D308B" w14:textId="054448AE" w:rsidR="00BC69A4" w:rsidRPr="006C1E39" w:rsidRDefault="4B2D283B" w:rsidP="005570B5">
      <w:pPr>
        <w:pStyle w:val="ListParagraph"/>
      </w:pPr>
      <w:r>
        <w:t xml:space="preserve">A risk register can be found </w:t>
      </w:r>
      <w:r w:rsidR="6557ABA6">
        <w:t>in</w:t>
      </w:r>
      <w:r w:rsidR="7B02BB5A">
        <w:t xml:space="preserve"> </w:t>
      </w:r>
      <w:r w:rsidR="0962A482">
        <w:t>A</w:t>
      </w:r>
      <w:r w:rsidR="7B02BB5A">
        <w:t>ppendix</w:t>
      </w:r>
      <w:r w:rsidR="00980ED7">
        <w:t xml:space="preserve"> </w:t>
      </w:r>
      <w:r w:rsidR="0962A482">
        <w:t>2</w:t>
      </w:r>
      <w:r w:rsidR="7B02BB5A">
        <w:t xml:space="preserve">. </w:t>
      </w:r>
    </w:p>
    <w:p w14:paraId="325C011D" w14:textId="77777777" w:rsidR="002329CF" w:rsidRPr="001356F1" w:rsidRDefault="002329CF" w:rsidP="0050321C">
      <w:pPr>
        <w:pStyle w:val="Heading1"/>
      </w:pPr>
      <w:r w:rsidRPr="001356F1">
        <w:t xml:space="preserve">Equalities impact </w:t>
      </w:r>
    </w:p>
    <w:p w14:paraId="33728B0A" w14:textId="654096C8" w:rsidR="00363D82" w:rsidRDefault="5D3A9B27" w:rsidP="00503A34">
      <w:pPr>
        <w:pStyle w:val="ListParagraph"/>
        <w:jc w:val="both"/>
      </w:pPr>
      <w:r w:rsidRPr="5224CD73">
        <w:rPr>
          <w:color w:val="auto"/>
        </w:rPr>
        <w:t xml:space="preserve">All changes to pay arrangements are and will continue </w:t>
      </w:r>
      <w:r w:rsidR="552DA113" w:rsidRPr="5224CD73">
        <w:rPr>
          <w:color w:val="auto"/>
        </w:rPr>
        <w:t xml:space="preserve">to </w:t>
      </w:r>
      <w:r w:rsidRPr="5224CD73">
        <w:rPr>
          <w:color w:val="auto"/>
        </w:rPr>
        <w:t xml:space="preserve">be subject to consultation, appropriate </w:t>
      </w:r>
      <w:r w:rsidR="1B756D29" w:rsidRPr="5224CD73">
        <w:rPr>
          <w:color w:val="auto"/>
        </w:rPr>
        <w:t>approvals,</w:t>
      </w:r>
      <w:r w:rsidR="4F43D192" w:rsidRPr="5224CD73">
        <w:rPr>
          <w:color w:val="auto"/>
        </w:rPr>
        <w:t xml:space="preserve"> and equality</w:t>
      </w:r>
      <w:r w:rsidRPr="5224CD73">
        <w:rPr>
          <w:color w:val="auto"/>
        </w:rPr>
        <w:t xml:space="preserve"> impact assessments.</w:t>
      </w:r>
    </w:p>
    <w:p w14:paraId="022D3A38" w14:textId="10F2EC33" w:rsidR="3861C5E5" w:rsidRDefault="3861C5E5" w:rsidP="3861C5E5"/>
    <w:p w14:paraId="00AE4504" w14:textId="77777777" w:rsidR="00675BFD" w:rsidRDefault="00675BFD" w:rsidP="3861C5E5"/>
    <w:p w14:paraId="76A09B36" w14:textId="77777777" w:rsidR="00675BFD" w:rsidRDefault="00675BFD" w:rsidP="3861C5E5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38892268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A759300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lastRenderedPageBreak/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5451C" w14:textId="77777777" w:rsidR="00E87F7A" w:rsidRPr="001356F1" w:rsidRDefault="00B6313B" w:rsidP="00A46E98">
            <w:r>
              <w:t>Helen Bishop</w:t>
            </w:r>
          </w:p>
        </w:tc>
      </w:tr>
      <w:tr w:rsidR="00DF093E" w:rsidRPr="001356F1" w14:paraId="0A74B356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FF9C472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F2535C" w14:textId="77777777" w:rsidR="00E87F7A" w:rsidRPr="001356F1" w:rsidRDefault="00B6313B" w:rsidP="00A46E98">
            <w:r>
              <w:t>Head of Business Improvement</w:t>
            </w:r>
          </w:p>
        </w:tc>
      </w:tr>
      <w:tr w:rsidR="00DF093E" w:rsidRPr="001356F1" w14:paraId="307AA8D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A10A596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BAD3FF0" w14:textId="77777777" w:rsidR="00E87F7A" w:rsidRPr="001356F1" w:rsidRDefault="00B6313B" w:rsidP="00A46E98">
            <w:r>
              <w:t>Business Improvement</w:t>
            </w:r>
          </w:p>
        </w:tc>
      </w:tr>
      <w:tr w:rsidR="00DF093E" w:rsidRPr="001356F1" w14:paraId="6F92898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CACF57B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2526FA9" w14:textId="77777777" w:rsidR="00E87F7A" w:rsidRPr="001356F1" w:rsidRDefault="00E87F7A" w:rsidP="00B6313B">
            <w:r w:rsidRPr="001356F1">
              <w:t xml:space="preserve">01865 </w:t>
            </w:r>
            <w:r w:rsidR="00B6313B">
              <w:t>252233</w:t>
            </w:r>
            <w:r w:rsidRPr="001356F1">
              <w:t xml:space="preserve">  </w:t>
            </w:r>
          </w:p>
        </w:tc>
      </w:tr>
      <w:tr w:rsidR="005570B5" w:rsidRPr="001356F1" w14:paraId="12A935A9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3B2BF6E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D293" w14:textId="77777777" w:rsidR="00E87F7A" w:rsidRPr="001356F1" w:rsidRDefault="00DA5D89" w:rsidP="00A46E98">
            <w:pPr>
              <w:rPr>
                <w:rStyle w:val="Hyperlink"/>
                <w:color w:val="000000"/>
              </w:rPr>
            </w:pPr>
            <w:hyperlink r:id="rId8" w:history="1">
              <w:r w:rsidR="00B84C84" w:rsidRPr="00E16BB6">
                <w:rPr>
                  <w:rStyle w:val="Hyperlink"/>
                </w:rPr>
                <w:t>hbishop@oxford.gov.uk</w:t>
              </w:r>
            </w:hyperlink>
          </w:p>
        </w:tc>
      </w:tr>
    </w:tbl>
    <w:p w14:paraId="007C4939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33CD0FFF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11C55B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12785654" w14:textId="77777777" w:rsidR="004456DD" w:rsidRPr="009E51FC" w:rsidRDefault="004456DD" w:rsidP="0093067A"/>
    <w:sectPr w:rsidR="004456DD" w:rsidRPr="009E51FC" w:rsidSect="00B44B83">
      <w:footerReference w:type="even" r:id="rId9"/>
      <w:headerReference w:type="first" r:id="rId10"/>
      <w:footerReference w:type="first" r:id="rId11"/>
      <w:pgSz w:w="11906" w:h="16838" w:code="9"/>
      <w:pgMar w:top="1418" w:right="1304" w:bottom="851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60F5" w14:textId="77777777" w:rsidR="004E7D3D" w:rsidRDefault="004E7D3D" w:rsidP="004A6D2F">
      <w:r>
        <w:separator/>
      </w:r>
    </w:p>
  </w:endnote>
  <w:endnote w:type="continuationSeparator" w:id="0">
    <w:p w14:paraId="6B994FFD" w14:textId="77777777" w:rsidR="004E7D3D" w:rsidRDefault="004E7D3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79B2" w14:textId="77777777" w:rsidR="006B2033" w:rsidRDefault="006B2033" w:rsidP="004A6D2F">
    <w:pPr>
      <w:pStyle w:val="Footer"/>
    </w:pPr>
    <w:r>
      <w:t>Do not use a footer or page numbers.</w:t>
    </w:r>
  </w:p>
  <w:p w14:paraId="644B805E" w14:textId="77777777" w:rsidR="006B2033" w:rsidRDefault="006B2033" w:rsidP="004A6D2F">
    <w:pPr>
      <w:pStyle w:val="Footer"/>
    </w:pPr>
  </w:p>
  <w:p w14:paraId="3F887F20" w14:textId="77777777" w:rsidR="006B2033" w:rsidRDefault="006B2033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57BB" w14:textId="77777777" w:rsidR="006B2033" w:rsidRDefault="006B2033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3B33" w14:textId="77777777" w:rsidR="004E7D3D" w:rsidRDefault="004E7D3D" w:rsidP="004A6D2F">
      <w:r>
        <w:separator/>
      </w:r>
    </w:p>
  </w:footnote>
  <w:footnote w:type="continuationSeparator" w:id="0">
    <w:p w14:paraId="38B43E2A" w14:textId="77777777" w:rsidR="004E7D3D" w:rsidRDefault="004E7D3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D16E" w14:textId="77777777" w:rsidR="006B2033" w:rsidRDefault="003328D6" w:rsidP="00D5547E">
    <w:pPr>
      <w:pStyle w:val="Header"/>
      <w:jc w:val="right"/>
    </w:pPr>
    <w:r>
      <w:rPr>
        <w:noProof/>
      </w:rPr>
      <w:drawing>
        <wp:inline distT="0" distB="0" distL="0" distR="0" wp14:anchorId="60C27416" wp14:editId="1EEC682E">
          <wp:extent cx="843280" cy="1117600"/>
          <wp:effectExtent l="0" t="0" r="0" b="6350"/>
          <wp:docPr id="6" name="Picture 6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1C26"/>
    <w:multiLevelType w:val="hybridMultilevel"/>
    <w:tmpl w:val="32486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A5FD8"/>
    <w:multiLevelType w:val="multilevel"/>
    <w:tmpl w:val="43D6D2FA"/>
    <w:numStyleLink w:val="StyleBulletedSymbolsymbolLeft063cmHanging063cm"/>
  </w:abstractNum>
  <w:abstractNum w:abstractNumId="28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22831"/>
    <w:multiLevelType w:val="multilevel"/>
    <w:tmpl w:val="43D6D2FA"/>
    <w:numStyleLink w:val="StyleBulletedSymbolsymbolLeft063cmHanging063cm"/>
  </w:abstractNum>
  <w:abstractNum w:abstractNumId="30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839781">
    <w:abstractNumId w:val="26"/>
  </w:num>
  <w:num w:numId="2" w16cid:durableId="1314291332">
    <w:abstractNumId w:val="31"/>
  </w:num>
  <w:num w:numId="3" w16cid:durableId="2135901306">
    <w:abstractNumId w:val="23"/>
  </w:num>
  <w:num w:numId="4" w16cid:durableId="513424622">
    <w:abstractNumId w:val="18"/>
  </w:num>
  <w:num w:numId="5" w16cid:durableId="1388526155">
    <w:abstractNumId w:val="28"/>
  </w:num>
  <w:num w:numId="6" w16cid:durableId="1629049257">
    <w:abstractNumId w:val="32"/>
  </w:num>
  <w:num w:numId="7" w16cid:durableId="1949972643">
    <w:abstractNumId w:val="22"/>
  </w:num>
  <w:num w:numId="8" w16cid:durableId="1816952065">
    <w:abstractNumId w:val="20"/>
  </w:num>
  <w:num w:numId="9" w16cid:durableId="274676506">
    <w:abstractNumId w:val="13"/>
  </w:num>
  <w:num w:numId="10" w16cid:durableId="909772800">
    <w:abstractNumId w:val="15"/>
  </w:num>
  <w:num w:numId="11" w16cid:durableId="1359693832">
    <w:abstractNumId w:val="25"/>
  </w:num>
  <w:num w:numId="12" w16cid:durableId="1001733791">
    <w:abstractNumId w:val="24"/>
  </w:num>
  <w:num w:numId="13" w16cid:durableId="1490630452">
    <w:abstractNumId w:val="10"/>
  </w:num>
  <w:num w:numId="14" w16cid:durableId="2114157698">
    <w:abstractNumId w:val="33"/>
  </w:num>
  <w:num w:numId="15" w16cid:durableId="1437478744">
    <w:abstractNumId w:val="16"/>
  </w:num>
  <w:num w:numId="16" w16cid:durableId="900554896">
    <w:abstractNumId w:val="11"/>
  </w:num>
  <w:num w:numId="17" w16cid:durableId="1510100815">
    <w:abstractNumId w:val="27"/>
  </w:num>
  <w:num w:numId="18" w16cid:durableId="935137129">
    <w:abstractNumId w:val="12"/>
  </w:num>
  <w:num w:numId="19" w16cid:durableId="603810431">
    <w:abstractNumId w:val="29"/>
  </w:num>
  <w:num w:numId="20" w16cid:durableId="849368019">
    <w:abstractNumId w:val="17"/>
  </w:num>
  <w:num w:numId="21" w16cid:durableId="260374971">
    <w:abstractNumId w:val="21"/>
  </w:num>
  <w:num w:numId="22" w16cid:durableId="183371952">
    <w:abstractNumId w:val="14"/>
  </w:num>
  <w:num w:numId="23" w16cid:durableId="1249079480">
    <w:abstractNumId w:val="30"/>
  </w:num>
  <w:num w:numId="24" w16cid:durableId="566887457">
    <w:abstractNumId w:val="9"/>
  </w:num>
  <w:num w:numId="25" w16cid:durableId="1489634507">
    <w:abstractNumId w:val="8"/>
  </w:num>
  <w:num w:numId="26" w16cid:durableId="961420320">
    <w:abstractNumId w:val="7"/>
  </w:num>
  <w:num w:numId="27" w16cid:durableId="1997368492">
    <w:abstractNumId w:val="6"/>
  </w:num>
  <w:num w:numId="28" w16cid:durableId="1414930035">
    <w:abstractNumId w:val="5"/>
  </w:num>
  <w:num w:numId="29" w16cid:durableId="645816788">
    <w:abstractNumId w:val="4"/>
  </w:num>
  <w:num w:numId="30" w16cid:durableId="13197449">
    <w:abstractNumId w:val="3"/>
  </w:num>
  <w:num w:numId="31" w16cid:durableId="1155949969">
    <w:abstractNumId w:val="2"/>
  </w:num>
  <w:num w:numId="32" w16cid:durableId="1724678055">
    <w:abstractNumId w:val="1"/>
  </w:num>
  <w:num w:numId="33" w16cid:durableId="538318176">
    <w:abstractNumId w:val="0"/>
  </w:num>
  <w:num w:numId="34" w16cid:durableId="93536195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3B"/>
    <w:rsid w:val="000117D4"/>
    <w:rsid w:val="00013472"/>
    <w:rsid w:val="000166C0"/>
    <w:rsid w:val="00022D70"/>
    <w:rsid w:val="00024996"/>
    <w:rsid w:val="000314D7"/>
    <w:rsid w:val="0004128D"/>
    <w:rsid w:val="00043636"/>
    <w:rsid w:val="00045F8B"/>
    <w:rsid w:val="000462F0"/>
    <w:rsid w:val="00046D2B"/>
    <w:rsid w:val="00055AEC"/>
    <w:rsid w:val="00056263"/>
    <w:rsid w:val="00062200"/>
    <w:rsid w:val="00064D8A"/>
    <w:rsid w:val="00064F82"/>
    <w:rsid w:val="0006580C"/>
    <w:rsid w:val="000662E8"/>
    <w:rsid w:val="00066510"/>
    <w:rsid w:val="00073A1F"/>
    <w:rsid w:val="00077523"/>
    <w:rsid w:val="000822DF"/>
    <w:rsid w:val="00090600"/>
    <w:rsid w:val="00090E00"/>
    <w:rsid w:val="00093F0D"/>
    <w:rsid w:val="000A6335"/>
    <w:rsid w:val="000B375C"/>
    <w:rsid w:val="000C089F"/>
    <w:rsid w:val="000C1722"/>
    <w:rsid w:val="000C3928"/>
    <w:rsid w:val="000C5E8E"/>
    <w:rsid w:val="000F0C2F"/>
    <w:rsid w:val="000F4751"/>
    <w:rsid w:val="000F714B"/>
    <w:rsid w:val="0010524C"/>
    <w:rsid w:val="00111FB1"/>
    <w:rsid w:val="00113418"/>
    <w:rsid w:val="0011529B"/>
    <w:rsid w:val="0012052A"/>
    <w:rsid w:val="00124AAE"/>
    <w:rsid w:val="001356F1"/>
    <w:rsid w:val="00136994"/>
    <w:rsid w:val="0014128E"/>
    <w:rsid w:val="00143A66"/>
    <w:rsid w:val="00151888"/>
    <w:rsid w:val="00170A2D"/>
    <w:rsid w:val="001808BC"/>
    <w:rsid w:val="00181FA4"/>
    <w:rsid w:val="00182B81"/>
    <w:rsid w:val="0018619D"/>
    <w:rsid w:val="0018627E"/>
    <w:rsid w:val="001A011E"/>
    <w:rsid w:val="001A066A"/>
    <w:rsid w:val="001A13E6"/>
    <w:rsid w:val="001A5731"/>
    <w:rsid w:val="001B42C3"/>
    <w:rsid w:val="001C1EA3"/>
    <w:rsid w:val="001C5D5E"/>
    <w:rsid w:val="001D0785"/>
    <w:rsid w:val="001D1B59"/>
    <w:rsid w:val="001D6181"/>
    <w:rsid w:val="001D678D"/>
    <w:rsid w:val="001D6A4E"/>
    <w:rsid w:val="001D7BCA"/>
    <w:rsid w:val="001E03F8"/>
    <w:rsid w:val="001E1678"/>
    <w:rsid w:val="001E3376"/>
    <w:rsid w:val="001E540F"/>
    <w:rsid w:val="001F01F9"/>
    <w:rsid w:val="002069B3"/>
    <w:rsid w:val="00222BAB"/>
    <w:rsid w:val="00224010"/>
    <w:rsid w:val="00225739"/>
    <w:rsid w:val="00225A03"/>
    <w:rsid w:val="00230DBD"/>
    <w:rsid w:val="002325A5"/>
    <w:rsid w:val="002329CF"/>
    <w:rsid w:val="00232F5B"/>
    <w:rsid w:val="00247C29"/>
    <w:rsid w:val="00250080"/>
    <w:rsid w:val="00256A73"/>
    <w:rsid w:val="00260467"/>
    <w:rsid w:val="00263EA3"/>
    <w:rsid w:val="00284F85"/>
    <w:rsid w:val="00290915"/>
    <w:rsid w:val="002A22E2"/>
    <w:rsid w:val="002A2328"/>
    <w:rsid w:val="002A376B"/>
    <w:rsid w:val="002A796F"/>
    <w:rsid w:val="002C64F7"/>
    <w:rsid w:val="002E3C00"/>
    <w:rsid w:val="002E6762"/>
    <w:rsid w:val="002F41F2"/>
    <w:rsid w:val="00301BF3"/>
    <w:rsid w:val="0030208D"/>
    <w:rsid w:val="00302B1E"/>
    <w:rsid w:val="003176F5"/>
    <w:rsid w:val="00323418"/>
    <w:rsid w:val="00324529"/>
    <w:rsid w:val="00327C5F"/>
    <w:rsid w:val="003328D6"/>
    <w:rsid w:val="003357BF"/>
    <w:rsid w:val="00346566"/>
    <w:rsid w:val="00352924"/>
    <w:rsid w:val="00353E02"/>
    <w:rsid w:val="00363D82"/>
    <w:rsid w:val="00364FAD"/>
    <w:rsid w:val="0036738F"/>
    <w:rsid w:val="0036759C"/>
    <w:rsid w:val="00367AE5"/>
    <w:rsid w:val="00367BEE"/>
    <w:rsid w:val="00367D71"/>
    <w:rsid w:val="0038150A"/>
    <w:rsid w:val="0039156D"/>
    <w:rsid w:val="003964F7"/>
    <w:rsid w:val="00397D25"/>
    <w:rsid w:val="003A5917"/>
    <w:rsid w:val="003B11E1"/>
    <w:rsid w:val="003B6E75"/>
    <w:rsid w:val="003B791F"/>
    <w:rsid w:val="003B7DA1"/>
    <w:rsid w:val="003C1EB6"/>
    <w:rsid w:val="003D0379"/>
    <w:rsid w:val="003D0662"/>
    <w:rsid w:val="003D0AFD"/>
    <w:rsid w:val="003D2574"/>
    <w:rsid w:val="003D4C59"/>
    <w:rsid w:val="003F4267"/>
    <w:rsid w:val="00404032"/>
    <w:rsid w:val="0040736F"/>
    <w:rsid w:val="00411113"/>
    <w:rsid w:val="0041267B"/>
    <w:rsid w:val="00412C1F"/>
    <w:rsid w:val="00421CB2"/>
    <w:rsid w:val="004268B9"/>
    <w:rsid w:val="004332AF"/>
    <w:rsid w:val="00433B96"/>
    <w:rsid w:val="00434E1A"/>
    <w:rsid w:val="0043752C"/>
    <w:rsid w:val="00440EFE"/>
    <w:rsid w:val="004440F1"/>
    <w:rsid w:val="004456DD"/>
    <w:rsid w:val="00446CDF"/>
    <w:rsid w:val="004521B7"/>
    <w:rsid w:val="00462AB5"/>
    <w:rsid w:val="004659FB"/>
    <w:rsid w:val="00465E56"/>
    <w:rsid w:val="00465EAF"/>
    <w:rsid w:val="004738C5"/>
    <w:rsid w:val="0047580D"/>
    <w:rsid w:val="0047681F"/>
    <w:rsid w:val="00491046"/>
    <w:rsid w:val="00495A1D"/>
    <w:rsid w:val="00497EBC"/>
    <w:rsid w:val="004A2AC7"/>
    <w:rsid w:val="004A6D2F"/>
    <w:rsid w:val="004B143E"/>
    <w:rsid w:val="004B3704"/>
    <w:rsid w:val="004C2887"/>
    <w:rsid w:val="004C6138"/>
    <w:rsid w:val="004C6799"/>
    <w:rsid w:val="004D0E1C"/>
    <w:rsid w:val="004D2558"/>
    <w:rsid w:val="004D2626"/>
    <w:rsid w:val="004D6E26"/>
    <w:rsid w:val="004D77D3"/>
    <w:rsid w:val="004E2959"/>
    <w:rsid w:val="004E3DA4"/>
    <w:rsid w:val="004E462B"/>
    <w:rsid w:val="004E7D3D"/>
    <w:rsid w:val="004F20EF"/>
    <w:rsid w:val="004F4E58"/>
    <w:rsid w:val="0050321C"/>
    <w:rsid w:val="0052253E"/>
    <w:rsid w:val="00546F3F"/>
    <w:rsid w:val="0054712D"/>
    <w:rsid w:val="00547EF6"/>
    <w:rsid w:val="00553FBB"/>
    <w:rsid w:val="005570B5"/>
    <w:rsid w:val="00560FB5"/>
    <w:rsid w:val="00564E6E"/>
    <w:rsid w:val="00567E18"/>
    <w:rsid w:val="00575F5F"/>
    <w:rsid w:val="00576903"/>
    <w:rsid w:val="00577202"/>
    <w:rsid w:val="00581805"/>
    <w:rsid w:val="00582A16"/>
    <w:rsid w:val="00585F76"/>
    <w:rsid w:val="00592C58"/>
    <w:rsid w:val="005946C1"/>
    <w:rsid w:val="005956CC"/>
    <w:rsid w:val="005A34E4"/>
    <w:rsid w:val="005B17F2"/>
    <w:rsid w:val="005B44F1"/>
    <w:rsid w:val="005B7FB0"/>
    <w:rsid w:val="005C35A5"/>
    <w:rsid w:val="005C53F4"/>
    <w:rsid w:val="005C577C"/>
    <w:rsid w:val="005C7F94"/>
    <w:rsid w:val="005D0621"/>
    <w:rsid w:val="005D1E27"/>
    <w:rsid w:val="005D2A3E"/>
    <w:rsid w:val="005E022E"/>
    <w:rsid w:val="005E5215"/>
    <w:rsid w:val="005F7F7E"/>
    <w:rsid w:val="00614693"/>
    <w:rsid w:val="006157BB"/>
    <w:rsid w:val="00617A63"/>
    <w:rsid w:val="00623C2F"/>
    <w:rsid w:val="00626F2E"/>
    <w:rsid w:val="00633578"/>
    <w:rsid w:val="00637068"/>
    <w:rsid w:val="00637D21"/>
    <w:rsid w:val="006439E9"/>
    <w:rsid w:val="00650811"/>
    <w:rsid w:val="0065458C"/>
    <w:rsid w:val="00661D3E"/>
    <w:rsid w:val="00671E28"/>
    <w:rsid w:val="00675BFD"/>
    <w:rsid w:val="00681FDC"/>
    <w:rsid w:val="00691000"/>
    <w:rsid w:val="00692627"/>
    <w:rsid w:val="006969E7"/>
    <w:rsid w:val="006A3643"/>
    <w:rsid w:val="006B2033"/>
    <w:rsid w:val="006C1E39"/>
    <w:rsid w:val="006C2A29"/>
    <w:rsid w:val="006C64CF"/>
    <w:rsid w:val="006D17B1"/>
    <w:rsid w:val="006D4752"/>
    <w:rsid w:val="006D708A"/>
    <w:rsid w:val="006E14C1"/>
    <w:rsid w:val="006E1A3A"/>
    <w:rsid w:val="006E4D84"/>
    <w:rsid w:val="006F0292"/>
    <w:rsid w:val="006F27FA"/>
    <w:rsid w:val="006F416B"/>
    <w:rsid w:val="006F519B"/>
    <w:rsid w:val="00712B4D"/>
    <w:rsid w:val="00712CB8"/>
    <w:rsid w:val="00713675"/>
    <w:rsid w:val="00715823"/>
    <w:rsid w:val="00724BA3"/>
    <w:rsid w:val="00736339"/>
    <w:rsid w:val="00737B93"/>
    <w:rsid w:val="007414A7"/>
    <w:rsid w:val="00745BF0"/>
    <w:rsid w:val="00754DB4"/>
    <w:rsid w:val="00756D96"/>
    <w:rsid w:val="00760405"/>
    <w:rsid w:val="007615FE"/>
    <w:rsid w:val="0076655C"/>
    <w:rsid w:val="007742DC"/>
    <w:rsid w:val="00780427"/>
    <w:rsid w:val="007900F3"/>
    <w:rsid w:val="00791437"/>
    <w:rsid w:val="0079194E"/>
    <w:rsid w:val="00792A22"/>
    <w:rsid w:val="007A41A3"/>
    <w:rsid w:val="007A51E6"/>
    <w:rsid w:val="007B0C2C"/>
    <w:rsid w:val="007B155D"/>
    <w:rsid w:val="007B278E"/>
    <w:rsid w:val="007C5C23"/>
    <w:rsid w:val="007C7007"/>
    <w:rsid w:val="007C7272"/>
    <w:rsid w:val="007D288B"/>
    <w:rsid w:val="007D543D"/>
    <w:rsid w:val="007E0954"/>
    <w:rsid w:val="007E2A26"/>
    <w:rsid w:val="007F2348"/>
    <w:rsid w:val="00803F07"/>
    <w:rsid w:val="0080749A"/>
    <w:rsid w:val="00814699"/>
    <w:rsid w:val="008178C2"/>
    <w:rsid w:val="00821FB8"/>
    <w:rsid w:val="00822ACD"/>
    <w:rsid w:val="00823862"/>
    <w:rsid w:val="00831FBC"/>
    <w:rsid w:val="00841016"/>
    <w:rsid w:val="00855C66"/>
    <w:rsid w:val="00871EE4"/>
    <w:rsid w:val="008824F4"/>
    <w:rsid w:val="00885A14"/>
    <w:rsid w:val="00886A98"/>
    <w:rsid w:val="008905F5"/>
    <w:rsid w:val="008A0564"/>
    <w:rsid w:val="008A64B0"/>
    <w:rsid w:val="008B293F"/>
    <w:rsid w:val="008B2A4F"/>
    <w:rsid w:val="008B7371"/>
    <w:rsid w:val="008C5CE6"/>
    <w:rsid w:val="008D3DDB"/>
    <w:rsid w:val="008D7854"/>
    <w:rsid w:val="008E2CFD"/>
    <w:rsid w:val="008E4143"/>
    <w:rsid w:val="008E459F"/>
    <w:rsid w:val="008E5614"/>
    <w:rsid w:val="008E7035"/>
    <w:rsid w:val="008E706A"/>
    <w:rsid w:val="008F3E2D"/>
    <w:rsid w:val="008F4987"/>
    <w:rsid w:val="008F573F"/>
    <w:rsid w:val="009034EC"/>
    <w:rsid w:val="0090799C"/>
    <w:rsid w:val="009212F7"/>
    <w:rsid w:val="0093067A"/>
    <w:rsid w:val="00941C60"/>
    <w:rsid w:val="009423C2"/>
    <w:rsid w:val="009469F1"/>
    <w:rsid w:val="00961EEF"/>
    <w:rsid w:val="00966D42"/>
    <w:rsid w:val="00967890"/>
    <w:rsid w:val="00971689"/>
    <w:rsid w:val="00973E90"/>
    <w:rsid w:val="00975B07"/>
    <w:rsid w:val="00980B4A"/>
    <w:rsid w:val="00980ED7"/>
    <w:rsid w:val="00984CB4"/>
    <w:rsid w:val="00993037"/>
    <w:rsid w:val="009B1236"/>
    <w:rsid w:val="009C0626"/>
    <w:rsid w:val="009D1ED5"/>
    <w:rsid w:val="009D54E6"/>
    <w:rsid w:val="009D6105"/>
    <w:rsid w:val="009E3D0A"/>
    <w:rsid w:val="009E51FC"/>
    <w:rsid w:val="009F0D40"/>
    <w:rsid w:val="009F1D28"/>
    <w:rsid w:val="009F7618"/>
    <w:rsid w:val="00A04D23"/>
    <w:rsid w:val="00A06766"/>
    <w:rsid w:val="00A07CD6"/>
    <w:rsid w:val="00A12099"/>
    <w:rsid w:val="00A13765"/>
    <w:rsid w:val="00A21B12"/>
    <w:rsid w:val="00A23F80"/>
    <w:rsid w:val="00A24A07"/>
    <w:rsid w:val="00A31FD2"/>
    <w:rsid w:val="00A46E98"/>
    <w:rsid w:val="00A56B8E"/>
    <w:rsid w:val="00A62135"/>
    <w:rsid w:val="00A6352B"/>
    <w:rsid w:val="00A701B5"/>
    <w:rsid w:val="00A714BB"/>
    <w:rsid w:val="00A92D8F"/>
    <w:rsid w:val="00AB2988"/>
    <w:rsid w:val="00AB7999"/>
    <w:rsid w:val="00AD18E1"/>
    <w:rsid w:val="00AD3292"/>
    <w:rsid w:val="00AD3E48"/>
    <w:rsid w:val="00AE7AF0"/>
    <w:rsid w:val="00AF262B"/>
    <w:rsid w:val="00B0459A"/>
    <w:rsid w:val="00B22B8E"/>
    <w:rsid w:val="00B33A56"/>
    <w:rsid w:val="00B34600"/>
    <w:rsid w:val="00B44B83"/>
    <w:rsid w:val="00B4511A"/>
    <w:rsid w:val="00B500CA"/>
    <w:rsid w:val="00B512B8"/>
    <w:rsid w:val="00B51DF6"/>
    <w:rsid w:val="00B54973"/>
    <w:rsid w:val="00B61806"/>
    <w:rsid w:val="00B62F69"/>
    <w:rsid w:val="00B6313B"/>
    <w:rsid w:val="00B6401F"/>
    <w:rsid w:val="00B6406C"/>
    <w:rsid w:val="00B849C6"/>
    <w:rsid w:val="00B84C84"/>
    <w:rsid w:val="00B86314"/>
    <w:rsid w:val="00BA1C2E"/>
    <w:rsid w:val="00BC200B"/>
    <w:rsid w:val="00BC4756"/>
    <w:rsid w:val="00BC69A4"/>
    <w:rsid w:val="00BD05E3"/>
    <w:rsid w:val="00BD3EA2"/>
    <w:rsid w:val="00BE0680"/>
    <w:rsid w:val="00BE305F"/>
    <w:rsid w:val="00BE7BA3"/>
    <w:rsid w:val="00BF5682"/>
    <w:rsid w:val="00BF5FED"/>
    <w:rsid w:val="00BF7B09"/>
    <w:rsid w:val="00C009AC"/>
    <w:rsid w:val="00C11C91"/>
    <w:rsid w:val="00C20A95"/>
    <w:rsid w:val="00C24DB2"/>
    <w:rsid w:val="00C2692F"/>
    <w:rsid w:val="00C30EC7"/>
    <w:rsid w:val="00C3207C"/>
    <w:rsid w:val="00C400E1"/>
    <w:rsid w:val="00C41187"/>
    <w:rsid w:val="00C423B2"/>
    <w:rsid w:val="00C476EE"/>
    <w:rsid w:val="00C63C31"/>
    <w:rsid w:val="00C71D01"/>
    <w:rsid w:val="00C723D9"/>
    <w:rsid w:val="00C73429"/>
    <w:rsid w:val="00C757A0"/>
    <w:rsid w:val="00C760DE"/>
    <w:rsid w:val="00C82630"/>
    <w:rsid w:val="00C85B4E"/>
    <w:rsid w:val="00C907F7"/>
    <w:rsid w:val="00CA2103"/>
    <w:rsid w:val="00CB6B99"/>
    <w:rsid w:val="00CE3C05"/>
    <w:rsid w:val="00CE4C87"/>
    <w:rsid w:val="00CE544A"/>
    <w:rsid w:val="00CF3AD2"/>
    <w:rsid w:val="00CF4B2E"/>
    <w:rsid w:val="00D11E1C"/>
    <w:rsid w:val="00D160B0"/>
    <w:rsid w:val="00D17F94"/>
    <w:rsid w:val="00D223FC"/>
    <w:rsid w:val="00D26D1E"/>
    <w:rsid w:val="00D35D8C"/>
    <w:rsid w:val="00D3663B"/>
    <w:rsid w:val="00D405DD"/>
    <w:rsid w:val="00D44175"/>
    <w:rsid w:val="00D474CF"/>
    <w:rsid w:val="00D5547E"/>
    <w:rsid w:val="00D65F3F"/>
    <w:rsid w:val="00D747A2"/>
    <w:rsid w:val="00D869A1"/>
    <w:rsid w:val="00D975FD"/>
    <w:rsid w:val="00DA37CB"/>
    <w:rsid w:val="00DA413F"/>
    <w:rsid w:val="00DA4584"/>
    <w:rsid w:val="00DA5D89"/>
    <w:rsid w:val="00DA614B"/>
    <w:rsid w:val="00DB64E8"/>
    <w:rsid w:val="00DC3060"/>
    <w:rsid w:val="00DD06B6"/>
    <w:rsid w:val="00DE0FB2"/>
    <w:rsid w:val="00DE58DE"/>
    <w:rsid w:val="00DE70D2"/>
    <w:rsid w:val="00DF093E"/>
    <w:rsid w:val="00E01F42"/>
    <w:rsid w:val="00E206D6"/>
    <w:rsid w:val="00E2239A"/>
    <w:rsid w:val="00E32F5C"/>
    <w:rsid w:val="00E3366E"/>
    <w:rsid w:val="00E37C59"/>
    <w:rsid w:val="00E479EE"/>
    <w:rsid w:val="00E52086"/>
    <w:rsid w:val="00E543A6"/>
    <w:rsid w:val="00E60479"/>
    <w:rsid w:val="00E61D73"/>
    <w:rsid w:val="00E73684"/>
    <w:rsid w:val="00E80A22"/>
    <w:rsid w:val="00E818D6"/>
    <w:rsid w:val="00E87F7A"/>
    <w:rsid w:val="00E96BD7"/>
    <w:rsid w:val="00EA0DB1"/>
    <w:rsid w:val="00EA0EE9"/>
    <w:rsid w:val="00ED52CA"/>
    <w:rsid w:val="00ED5860"/>
    <w:rsid w:val="00EE35C9"/>
    <w:rsid w:val="00EE3CBB"/>
    <w:rsid w:val="00EF6502"/>
    <w:rsid w:val="00F05ECA"/>
    <w:rsid w:val="00F3566E"/>
    <w:rsid w:val="00F375FB"/>
    <w:rsid w:val="00F37AE8"/>
    <w:rsid w:val="00F41AC1"/>
    <w:rsid w:val="00F4367A"/>
    <w:rsid w:val="00F445B1"/>
    <w:rsid w:val="00F45CD4"/>
    <w:rsid w:val="00F57808"/>
    <w:rsid w:val="00F66DCA"/>
    <w:rsid w:val="00F74F53"/>
    <w:rsid w:val="00F7606D"/>
    <w:rsid w:val="00F773B7"/>
    <w:rsid w:val="00F81670"/>
    <w:rsid w:val="00F82024"/>
    <w:rsid w:val="00F9215D"/>
    <w:rsid w:val="00F95BC9"/>
    <w:rsid w:val="00FA624C"/>
    <w:rsid w:val="00FC0533"/>
    <w:rsid w:val="00FC09CB"/>
    <w:rsid w:val="00FD0FAC"/>
    <w:rsid w:val="00FD1DFA"/>
    <w:rsid w:val="00FD4966"/>
    <w:rsid w:val="00FD7BBD"/>
    <w:rsid w:val="00FE19F4"/>
    <w:rsid w:val="00FE57DC"/>
    <w:rsid w:val="00FE7062"/>
    <w:rsid w:val="018F4DDA"/>
    <w:rsid w:val="075A0EB7"/>
    <w:rsid w:val="0962A482"/>
    <w:rsid w:val="0BC3105C"/>
    <w:rsid w:val="0CCF7CAE"/>
    <w:rsid w:val="0D814F33"/>
    <w:rsid w:val="11261B76"/>
    <w:rsid w:val="1309A154"/>
    <w:rsid w:val="1B756D29"/>
    <w:rsid w:val="1CC126CC"/>
    <w:rsid w:val="1F7F7EBD"/>
    <w:rsid w:val="2105C115"/>
    <w:rsid w:val="255A9A7A"/>
    <w:rsid w:val="27712AB5"/>
    <w:rsid w:val="277F1573"/>
    <w:rsid w:val="27948683"/>
    <w:rsid w:val="27DCEC7F"/>
    <w:rsid w:val="28A60D28"/>
    <w:rsid w:val="2B07396A"/>
    <w:rsid w:val="2B49C790"/>
    <w:rsid w:val="30775FD4"/>
    <w:rsid w:val="36C9F098"/>
    <w:rsid w:val="3861C5E5"/>
    <w:rsid w:val="38813100"/>
    <w:rsid w:val="38A586D2"/>
    <w:rsid w:val="3920FF05"/>
    <w:rsid w:val="3AC23246"/>
    <w:rsid w:val="3C4D5CAF"/>
    <w:rsid w:val="40893E23"/>
    <w:rsid w:val="40DE5B4C"/>
    <w:rsid w:val="42E4A20B"/>
    <w:rsid w:val="45071B8D"/>
    <w:rsid w:val="45E158C9"/>
    <w:rsid w:val="4702315F"/>
    <w:rsid w:val="47895DF1"/>
    <w:rsid w:val="4A1E10B1"/>
    <w:rsid w:val="4A6676AD"/>
    <w:rsid w:val="4B2D283B"/>
    <w:rsid w:val="4C2373AE"/>
    <w:rsid w:val="4EBA4558"/>
    <w:rsid w:val="4F43D192"/>
    <w:rsid w:val="51A3EA6D"/>
    <w:rsid w:val="5202E9C5"/>
    <w:rsid w:val="52221E1C"/>
    <w:rsid w:val="5224CD73"/>
    <w:rsid w:val="53C09DD4"/>
    <w:rsid w:val="552DA113"/>
    <w:rsid w:val="559F883B"/>
    <w:rsid w:val="56F6886D"/>
    <w:rsid w:val="5754B377"/>
    <w:rsid w:val="576691C7"/>
    <w:rsid w:val="57C45F3D"/>
    <w:rsid w:val="57D775A5"/>
    <w:rsid w:val="5930C8AA"/>
    <w:rsid w:val="5A466E9E"/>
    <w:rsid w:val="5D3A9B27"/>
    <w:rsid w:val="5E827312"/>
    <w:rsid w:val="5F58CEF2"/>
    <w:rsid w:val="614CCDA3"/>
    <w:rsid w:val="61A2E6E0"/>
    <w:rsid w:val="64CE6EF6"/>
    <w:rsid w:val="64D5FF85"/>
    <w:rsid w:val="650A4CDA"/>
    <w:rsid w:val="6557ABA6"/>
    <w:rsid w:val="65615491"/>
    <w:rsid w:val="6742B9BD"/>
    <w:rsid w:val="674C9EF0"/>
    <w:rsid w:val="69097D69"/>
    <w:rsid w:val="69E691B3"/>
    <w:rsid w:val="6A93098E"/>
    <w:rsid w:val="6B30A0C9"/>
    <w:rsid w:val="6D725029"/>
    <w:rsid w:val="6EEE9BCA"/>
    <w:rsid w:val="702EFF62"/>
    <w:rsid w:val="70788E0E"/>
    <w:rsid w:val="71C1C11D"/>
    <w:rsid w:val="71C6FE81"/>
    <w:rsid w:val="73C86950"/>
    <w:rsid w:val="74B10721"/>
    <w:rsid w:val="7542879F"/>
    <w:rsid w:val="76B64DD5"/>
    <w:rsid w:val="7712810A"/>
    <w:rsid w:val="78201EAD"/>
    <w:rsid w:val="79CA714A"/>
    <w:rsid w:val="7B02BB5A"/>
    <w:rsid w:val="7F374AD1"/>
    <w:rsid w:val="7FDDA615"/>
    <w:rsid w:val="7F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2D4BD5"/>
  <w15:docId w15:val="{C7FA18F5-EBEB-4EE8-AEFB-996D1C6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ishop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8411-6287-4B33-B11C-3FEA08A6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3478</Characters>
  <Application>Microsoft Office Word</Application>
  <DocSecurity>0</DocSecurity>
  <Lines>28</Lines>
  <Paragraphs>8</Paragraphs>
  <ScaleCrop>false</ScaleCrop>
  <Company>Oxford City Council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Angela.Bowman</dc:creator>
  <cp:lastModifiedBy>NICHOLS Stephanie</cp:lastModifiedBy>
  <cp:revision>22</cp:revision>
  <cp:lastPrinted>2016-03-24T10:56:00Z</cp:lastPrinted>
  <dcterms:created xsi:type="dcterms:W3CDTF">2024-01-10T16:23:00Z</dcterms:created>
  <dcterms:modified xsi:type="dcterms:W3CDTF">2024-03-04T09:58:00Z</dcterms:modified>
</cp:coreProperties>
</file>